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360" w:lineRule="auto"/>
        <w:jc w:val="center"/>
        <w:rPr>
          <w:rFonts w:ascii="Times New Roman" w:hAnsi="Times New Roman"/>
          <w:b/>
          <w:sz w:val="24"/>
          <w:szCs w:val="24"/>
        </w:rPr>
      </w:pPr>
      <w:r>
        <w:rPr>
          <w:rFonts w:ascii="Times New Roman" w:hAnsi="Times New Roman"/>
          <w:b/>
          <w:sz w:val="24"/>
          <w:szCs w:val="24"/>
        </w:rPr>
        <w:t xml:space="preserve">EDITAL DE ABERTURA DE INSCRIÇÃO PARA PREENCHIMENTO DE VAGAS NO GRUPO DE ESTUDO, PESQUISA E EXTENSÃO EM AUTOMAÇÃO, ROBÓTICA E TECNOLOGIA (GEART) </w:t>
      </w:r>
    </w:p>
    <w:p>
      <w:pPr>
        <w:spacing w:after="0" w:line="360" w:lineRule="auto"/>
        <w:jc w:val="both"/>
        <w:rPr>
          <w:rFonts w:ascii="Times New Roman" w:hAnsi="Times New Roman"/>
          <w:b/>
        </w:rPr>
      </w:pPr>
      <w:r>
        <w:rPr>
          <w:rFonts w:ascii="Times New Roman" w:hAnsi="Times New Roman"/>
          <w:b/>
        </w:rPr>
      </w:r>
    </w:p>
    <w:p>
      <w:pPr>
        <w:spacing w:after="0" w:line="360" w:lineRule="auto"/>
        <w:jc w:val="both"/>
        <w:rPr>
          <w:rFonts w:ascii="Times New Roman" w:hAnsi="Times New Roman"/>
          <w:sz w:val="24"/>
          <w:szCs w:val="24"/>
        </w:rPr>
      </w:pPr>
      <w:r>
        <w:rPr>
          <w:rFonts w:ascii="Times New Roman" w:hAnsi="Times New Roman"/>
          <w:sz w:val="24"/>
          <w:szCs w:val="24"/>
        </w:rPr>
        <w:t>O Centro Universitário FAI – UCEFF Itapiranga torna público ao corpo discente e egressos dos cursos de Arquitetura e Urbanismo, Engenharia Civil, Engenharia de Produção e Gestão da Tecnologia da Informação o processo de seleção de membros para compor o Grupo de Estudo, Pesquisa e Extensão em Automação, Robótica e Tecnologia (GEART), sob orientação do professor Aléssio Cagliari.</w:t>
      </w:r>
    </w:p>
    <w:p>
      <w:pPr>
        <w:pStyle w:val="para2"/>
        <w:ind w:left="0"/>
        <w:spacing w:after="0" w:line="360" w:lineRule="auto"/>
        <w:jc w:val="both"/>
        <w:rPr>
          <w:rFonts w:ascii="Times New Roman" w:hAnsi="Times New Roman"/>
          <w:sz w:val="24"/>
          <w:szCs w:val="24"/>
        </w:rPr>
      </w:pPr>
      <w:r>
        <w:rPr>
          <w:rFonts w:ascii="Times New Roman" w:hAnsi="Times New Roman"/>
          <w:sz w:val="24"/>
          <w:szCs w:val="24"/>
        </w:rPr>
      </w:r>
    </w:p>
    <w:p>
      <w:pPr>
        <w:pStyle w:val="para2"/>
        <w:ind w:left="0"/>
        <w:spacing w:after="0" w:line="360" w:lineRule="auto"/>
        <w:jc w:val="both"/>
        <w:rPr>
          <w:rFonts w:ascii="Times New Roman" w:hAnsi="Times New Roman"/>
          <w:b/>
          <w:sz w:val="24"/>
          <w:szCs w:val="24"/>
        </w:rPr>
      </w:pPr>
      <w:r>
        <w:rPr>
          <w:rFonts w:ascii="Times New Roman" w:hAnsi="Times New Roman"/>
          <w:b/>
          <w:sz w:val="24"/>
          <w:szCs w:val="24"/>
        </w:rPr>
        <w:t>1 DISPOSIÇÕES PRELIMINARES</w:t>
      </w:r>
    </w:p>
    <w:p>
      <w:pPr>
        <w:pStyle w:val="para5"/>
        <w:ind w:firstLine="708"/>
        <w:spacing w:before="0" w:after="0" w:line="360" w:lineRule="auto"/>
        <w:jc w:val="both"/>
      </w:pPr>
      <w:r>
        <w:t>A Iniciação Científica caracteriza-se como uma atividade de investigação, realizada por estudantes de graduação, no âmbito de projeto de pesquisa, orientado por pesquisador qualificado, e que visa à formação integral do acadêmico, o aprendizado de técnicas e métodos científicos, bem como ao desenvolvimento da mentalidade científica e da criatividade, no confronto direto com os problemas oriundos da pesquisa.</w:t>
      </w:r>
    </w:p>
    <w:p>
      <w:pPr>
        <w:pStyle w:val="para2"/>
        <w:ind w:left="0"/>
        <w:spacing w:after="0" w:line="360" w:lineRule="auto"/>
        <w:jc w:val="both"/>
        <w:rPr>
          <w:rFonts w:ascii="Times New Roman" w:hAnsi="Times New Roman"/>
          <w:sz w:val="24"/>
          <w:szCs w:val="24"/>
        </w:rPr>
      </w:pPr>
      <w:r>
        <w:rPr>
          <w:rFonts w:ascii="Times New Roman" w:hAnsi="Times New Roman"/>
          <w:sz w:val="24"/>
          <w:szCs w:val="24"/>
        </w:rPr>
      </w:r>
    </w:p>
    <w:p>
      <w:pPr>
        <w:pStyle w:val="para2"/>
        <w:ind w:left="0"/>
        <w:spacing w:after="0" w:line="360" w:lineRule="auto"/>
        <w:jc w:val="both"/>
        <w:rPr>
          <w:rFonts w:ascii="Times New Roman" w:hAnsi="Times New Roman"/>
          <w:b/>
          <w:sz w:val="24"/>
          <w:szCs w:val="24"/>
        </w:rPr>
      </w:pPr>
      <w:r>
        <w:rPr>
          <w:rFonts w:ascii="Times New Roman" w:hAnsi="Times New Roman"/>
          <w:b/>
          <w:sz w:val="24"/>
          <w:szCs w:val="24"/>
        </w:rPr>
        <w:t>2 APRESENTAÇÃO DO GRUPO DE ESTUDO E PESQUISA</w:t>
      </w:r>
    </w:p>
    <w:p>
      <w:pPr>
        <w:ind w:firstLine="708"/>
        <w:spacing w:after="0" w:line="360" w:lineRule="auto"/>
        <w:jc w:val="both"/>
        <w:rPr>
          <w:rFonts w:ascii="Times New Roman" w:hAnsi="Times New Roman"/>
          <w:color w:val="000000"/>
          <w:sz w:val="24"/>
          <w:szCs w:val="24"/>
          <w:shd w:val="clear" w:fill="ffffff"/>
        </w:rPr>
      </w:pPr>
      <w:r>
        <w:rPr>
          <w:rFonts w:ascii="Times New Roman" w:hAnsi="Times New Roman"/>
          <w:sz w:val="24"/>
          <w:szCs w:val="24"/>
        </w:rPr>
        <w:t>O</w:t>
      </w:r>
      <w:r>
        <w:rPr>
          <w:rFonts w:ascii="Times New Roman" w:hAnsi="Times New Roman"/>
          <w:b/>
          <w:sz w:val="24"/>
          <w:szCs w:val="24"/>
        </w:rPr>
        <w:t xml:space="preserve"> </w:t>
      </w:r>
      <w:r>
        <w:rPr>
          <w:rFonts w:ascii="Times New Roman" w:hAnsi="Times New Roman"/>
          <w:sz w:val="24"/>
          <w:szCs w:val="24"/>
        </w:rPr>
        <w:t>Grupo de Estudo, Pesquisa e Extensão em Automação, Robótica e Tecnologia (GEART) tem</w:t>
      </w:r>
      <w:r>
        <w:rPr>
          <w:rFonts w:ascii="Times New Roman" w:hAnsi="Times New Roman"/>
          <w:b/>
          <w:sz w:val="24"/>
          <w:szCs w:val="24"/>
        </w:rPr>
        <w:t xml:space="preserve"> </w:t>
      </w:r>
      <w:r>
        <w:rPr>
          <w:rFonts w:ascii="Times New Roman" w:hAnsi="Times New Roman"/>
          <w:color w:val="000000"/>
          <w:sz w:val="24"/>
          <w:szCs w:val="24"/>
          <w:shd w:val="clear" w:fill="ffffff"/>
        </w:rPr>
        <w:t>como principais objetivos possibilitar aos acadêmicos de Iniciação Científica uma maior fixação dos conhecimentos teóricos obtidos nas disciplinas de graduação, além de desenvolver novos conhecimentos por meio de projetos de aplicação prática na área de desenvolvimento de produtos e soluções de automação residencial, comercial e industrial, robótica e tecnologias aplicadas à engenharia e arquitetura, utilizando-se da tecnologia Arduino. O objetivo é promover o estudo e a pesquisa aplicada com a plataforma Arduíno, incrementar e consolidar o conhecimento nas áreas de hardware, eletrônica, design, programação, inovação e empreendedorismo, bem como incentivar o desenvolvimento e a produção intelectual. As atividades do GEART serão desenvolvidas semanalmente, nas segundas-feiras, com início às 17h e término às 19h. O horário de funcionamento do Grupo de Estudos poderá ser alterado em comum acordo entre professor orientador e participantes.</w:t>
      </w:r>
    </w:p>
    <w:p>
      <w:pPr>
        <w:ind w:firstLine="708"/>
        <w:spacing w:after="0" w:line="360" w:lineRule="auto"/>
        <w:jc w:val="both"/>
        <w:rPr>
          <w:rFonts w:ascii="Times New Roman" w:hAnsi="Times New Roman"/>
          <w:sz w:val="24"/>
          <w:szCs w:val="24"/>
        </w:rPr>
      </w:pPr>
      <w:r>
        <w:rPr>
          <w:rFonts w:ascii="Times New Roman" w:hAnsi="Times New Roman"/>
          <w:sz w:val="24"/>
          <w:szCs w:val="24"/>
        </w:rPr>
      </w:r>
    </w:p>
    <w:p>
      <w:pPr>
        <w:ind w:firstLine="708"/>
        <w:spacing w:after="0" w:line="360" w:lineRule="auto"/>
        <w:jc w:val="both"/>
        <w:rPr>
          <w:rFonts w:ascii="Times New Roman" w:hAnsi="Times New Roman"/>
          <w:sz w:val="24"/>
          <w:szCs w:val="24"/>
        </w:rPr>
      </w:pPr>
      <w:r>
        <w:rPr>
          <w:rFonts w:ascii="Times New Roman" w:hAnsi="Times New Roman"/>
          <w:sz w:val="24"/>
          <w:szCs w:val="24"/>
        </w:rPr>
      </w:r>
    </w:p>
    <w:p>
      <w:pPr>
        <w:ind w:firstLine="708"/>
        <w:spacing w:after="0" w:line="360" w:lineRule="auto"/>
        <w:jc w:val="both"/>
        <w:rPr>
          <w:rFonts w:ascii="Times New Roman" w:hAnsi="Times New Roman"/>
          <w:sz w:val="24"/>
          <w:szCs w:val="24"/>
        </w:rPr>
      </w:pPr>
      <w:r>
        <w:rPr>
          <w:rFonts w:ascii="Times New Roman" w:hAnsi="Times New Roman"/>
          <w:sz w:val="24"/>
          <w:szCs w:val="24"/>
        </w:rPr>
      </w:r>
    </w:p>
    <w:p>
      <w:pPr>
        <w:pStyle w:val="para2"/>
        <w:numPr>
          <w:ilvl w:val="0"/>
          <w:numId w:val="7"/>
        </w:numPr>
        <w:ind w:left="284" w:hanging="284"/>
        <w:spacing w:after="0" w:line="360" w:lineRule="auto"/>
        <w:rPr>
          <w:rFonts w:ascii="Times New Roman" w:hAnsi="Times New Roman"/>
          <w:b/>
          <w:sz w:val="24"/>
          <w:szCs w:val="24"/>
        </w:rPr>
      </w:pPr>
      <w:r>
        <w:rPr>
          <w:rFonts w:ascii="Times New Roman" w:hAnsi="Times New Roman"/>
          <w:b/>
          <w:sz w:val="24"/>
          <w:szCs w:val="24"/>
        </w:rPr>
        <w:t>DOS REQUISITOS PARA PARTICIPAÇÃO DO GRUPO</w:t>
      </w:r>
    </w:p>
    <w:p>
      <w:pPr>
        <w:pStyle w:val="para2"/>
        <w:ind w:left="0" w:firstLine="708"/>
        <w:spacing w:after="0" w:line="360" w:lineRule="auto"/>
        <w:rPr>
          <w:rFonts w:ascii="Times New Roman" w:hAnsi="Times New Roman"/>
          <w:sz w:val="24"/>
          <w:szCs w:val="24"/>
        </w:rPr>
      </w:pPr>
      <w:r>
        <w:rPr>
          <w:rFonts w:ascii="Times New Roman" w:hAnsi="Times New Roman"/>
          <w:sz w:val="24"/>
          <w:szCs w:val="24"/>
        </w:rPr>
        <w:t>São requisitos para candidato a membro integrante:</w:t>
      </w:r>
    </w:p>
    <w:p>
      <w:pPr>
        <w:pStyle w:val="para2"/>
        <w:numPr>
          <w:ilvl w:val="0"/>
          <w:numId w:val="6"/>
        </w:numPr>
        <w:ind w:left="360" w:hanging="360"/>
        <w:spacing w:after="0" w:line="360" w:lineRule="auto"/>
        <w:jc w:val="both"/>
        <w:rPr>
          <w:rFonts w:ascii="Times New Roman" w:hAnsi="Times New Roman"/>
          <w:sz w:val="24"/>
          <w:szCs w:val="24"/>
        </w:rPr>
      </w:pPr>
      <w:r>
        <w:rPr>
          <w:rFonts w:ascii="Times New Roman" w:hAnsi="Times New Roman"/>
          <w:sz w:val="24"/>
          <w:szCs w:val="24"/>
        </w:rPr>
        <w:t>Ser aluno regularmente matriculado ou egresso dos cursos de Arquitetura e Urbanismo, Engenharia Civil, Engenharia de Produção ou Gestão da Tecnologia da Informação da do Centro Universitário FAI.</w:t>
      </w:r>
    </w:p>
    <w:p>
      <w:pPr>
        <w:pStyle w:val="para2"/>
        <w:numPr>
          <w:ilvl w:val="0"/>
          <w:numId w:val="6"/>
        </w:numPr>
        <w:ind w:left="360" w:hanging="360"/>
        <w:spacing w:after="0" w:line="360" w:lineRule="auto"/>
        <w:jc w:val="both"/>
        <w:rPr>
          <w:rFonts w:ascii="Times New Roman" w:hAnsi="Times New Roman"/>
          <w:sz w:val="24"/>
          <w:szCs w:val="24"/>
        </w:rPr>
      </w:pPr>
      <w:r>
        <w:rPr>
          <w:rFonts w:ascii="Times New Roman" w:hAnsi="Times New Roman"/>
          <w:sz w:val="24"/>
          <w:szCs w:val="24"/>
        </w:rPr>
        <w:t>Ter disponibilidade de horários (pelo menos duas horas semanais).</w:t>
      </w:r>
    </w:p>
    <w:p>
      <w:pPr>
        <w:spacing w:after="0"/>
        <w:rPr>
          <w:rFonts w:ascii="Times New Roman" w:hAnsi="Times New Roman"/>
          <w:sz w:val="24"/>
          <w:szCs w:val="24"/>
        </w:rPr>
      </w:pPr>
      <w:r>
        <w:rPr>
          <w:rFonts w:ascii="Times New Roman" w:hAnsi="Times New Roman"/>
          <w:sz w:val="24"/>
          <w:szCs w:val="24"/>
        </w:rPr>
      </w:r>
    </w:p>
    <w:p>
      <w:pPr>
        <w:numPr>
          <w:ilvl w:val="0"/>
          <w:numId w:val="7"/>
        </w:numPr>
        <w:ind w:left="284" w:hanging="284"/>
        <w:spacing w:after="0" w:line="360" w:lineRule="auto"/>
        <w:jc w:val="both"/>
        <w:rPr>
          <w:rFonts w:ascii="Times New Roman" w:hAnsi="Times New Roman"/>
          <w:b/>
          <w:sz w:val="24"/>
          <w:szCs w:val="24"/>
        </w:rPr>
      </w:pPr>
      <w:r>
        <w:rPr>
          <w:rFonts w:ascii="Times New Roman" w:hAnsi="Times New Roman"/>
          <w:b/>
          <w:sz w:val="24"/>
          <w:szCs w:val="24"/>
        </w:rPr>
        <w:t>DAS ATRIBUIÇÕES DO MEMBRO INTEGRANTE</w:t>
      </w:r>
    </w:p>
    <w:p>
      <w:pPr>
        <w:ind w:firstLine="708"/>
        <w:spacing w:after="0" w:line="360" w:lineRule="auto"/>
        <w:jc w:val="both"/>
        <w:rPr>
          <w:rFonts w:ascii="Times New Roman" w:hAnsi="Times New Roman"/>
          <w:sz w:val="24"/>
          <w:szCs w:val="24"/>
        </w:rPr>
      </w:pPr>
      <w:r>
        <w:rPr>
          <w:rFonts w:ascii="Times New Roman" w:hAnsi="Times New Roman"/>
          <w:sz w:val="24"/>
          <w:szCs w:val="24"/>
        </w:rPr>
        <w:t>São consideradas atribuições do membro participante do Grupo:</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Comparecer as reuniões, visitas técnicas e demais atividades propostas, em horário previamente estipulado.</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Participar com o professor orientador das tarefas de extensão e pesquisa.</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Auxiliar o professor orientador na organização e preparação de material didático, levantamento bibliográfico e planejamento das atividades.</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Desenvolver outras tarefas que se enquadrem nas especificações do Grupo.</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Planejar sob orientação do professor intervenções e sistemática de apoio.</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Apresentar relatórios das atividades ao final de cada projeto desenvolvido.</w:t>
      </w:r>
    </w:p>
    <w:p>
      <w:pPr>
        <w:pStyle w:val="para2"/>
        <w:numPr>
          <w:ilvl w:val="0"/>
          <w:numId w:val="5"/>
        </w:numPr>
        <w:ind w:left="284" w:hanging="284"/>
        <w:spacing w:after="0" w:line="360" w:lineRule="auto"/>
        <w:jc w:val="both"/>
        <w:rPr>
          <w:rFonts w:ascii="Times New Roman" w:hAnsi="Times New Roman"/>
          <w:sz w:val="24"/>
          <w:szCs w:val="24"/>
        </w:rPr>
      </w:pPr>
      <w:r>
        <w:rPr>
          <w:rFonts w:ascii="Times New Roman" w:hAnsi="Times New Roman"/>
          <w:sz w:val="24"/>
          <w:szCs w:val="24"/>
        </w:rPr>
        <w:t>Assinar as atas de realização dos encontros, comprovando a frequência nas atividades.</w:t>
      </w:r>
    </w:p>
    <w:p>
      <w:pPr>
        <w:pStyle w:val="para2"/>
        <w:ind w:left="0"/>
        <w:spacing w:after="0" w:line="360" w:lineRule="auto"/>
        <w:jc w:val="both"/>
        <w:rPr>
          <w:rFonts w:ascii="Times New Roman" w:hAnsi="Times New Roman"/>
          <w:sz w:val="24"/>
          <w:szCs w:val="24"/>
        </w:rPr>
      </w:pPr>
      <w:r>
        <w:rPr>
          <w:rFonts w:ascii="Times New Roman" w:hAnsi="Times New Roman"/>
          <w:sz w:val="24"/>
          <w:szCs w:val="24"/>
        </w:rPr>
      </w:r>
    </w:p>
    <w:p>
      <w:pPr>
        <w:pStyle w:val="para2"/>
        <w:numPr>
          <w:ilvl w:val="0"/>
          <w:numId w:val="3"/>
        </w:numPr>
        <w:ind w:left="284" w:hanging="284"/>
        <w:spacing w:after="0" w:line="360" w:lineRule="auto"/>
        <w:jc w:val="both"/>
        <w:rPr>
          <w:rFonts w:ascii="Times New Roman" w:hAnsi="Times New Roman"/>
          <w:sz w:val="24"/>
          <w:szCs w:val="24"/>
        </w:rPr>
      </w:pPr>
      <w:r>
        <w:rPr>
          <w:rFonts w:ascii="Times New Roman" w:hAnsi="Times New Roman"/>
          <w:b/>
          <w:sz w:val="24"/>
          <w:szCs w:val="24"/>
        </w:rPr>
        <w:t xml:space="preserve">DAS VEDAÇÕES DO MEMBRO INTEGRANTE </w:t>
      </w:r>
      <w:r>
        <w:rPr>
          <w:rFonts w:ascii="Times New Roman" w:hAnsi="Times New Roman"/>
          <w:sz w:val="24"/>
          <w:szCs w:val="24"/>
        </w:rPr>
      </w:r>
    </w:p>
    <w:p>
      <w:pPr>
        <w:ind w:firstLine="708"/>
        <w:spacing w:after="0" w:line="360" w:lineRule="auto"/>
        <w:rPr>
          <w:rFonts w:ascii="Times New Roman" w:hAnsi="Times New Roman"/>
          <w:sz w:val="24"/>
          <w:szCs w:val="24"/>
        </w:rPr>
      </w:pPr>
      <w:r>
        <w:rPr>
          <w:rFonts w:ascii="Times New Roman" w:hAnsi="Times New Roman"/>
          <w:sz w:val="24"/>
          <w:szCs w:val="24"/>
        </w:rPr>
        <w:t>Constituem-se vedações ao membro integrante</w:t>
      </w:r>
    </w:p>
    <w:p>
      <w:pPr>
        <w:pStyle w:val="para2"/>
        <w:numPr>
          <w:ilvl w:val="0"/>
          <w:numId w:val="2"/>
        </w:numPr>
        <w:ind w:left="284" w:hanging="284"/>
        <w:spacing w:after="0" w:line="360" w:lineRule="auto"/>
        <w:rPr>
          <w:rFonts w:ascii="Times New Roman" w:hAnsi="Times New Roman"/>
          <w:sz w:val="24"/>
          <w:szCs w:val="24"/>
        </w:rPr>
      </w:pPr>
      <w:r>
        <w:rPr>
          <w:rFonts w:ascii="Times New Roman" w:hAnsi="Times New Roman"/>
          <w:sz w:val="24"/>
          <w:szCs w:val="24"/>
        </w:rPr>
        <w:t>Realizar trabalhos técnicos sem o conhecimento de professor orientador.</w:t>
      </w:r>
    </w:p>
    <w:p>
      <w:pPr>
        <w:pStyle w:val="para2"/>
        <w:numPr>
          <w:ilvl w:val="0"/>
          <w:numId w:val="2"/>
        </w:numPr>
        <w:ind w:left="284" w:hanging="284"/>
        <w:spacing w:after="0" w:line="360" w:lineRule="auto"/>
        <w:rPr>
          <w:rFonts w:ascii="Times New Roman" w:hAnsi="Times New Roman"/>
          <w:sz w:val="24"/>
          <w:szCs w:val="24"/>
        </w:rPr>
      </w:pPr>
      <w:r>
        <w:rPr>
          <w:rFonts w:ascii="Times New Roman" w:hAnsi="Times New Roman"/>
          <w:sz w:val="24"/>
          <w:szCs w:val="24"/>
        </w:rPr>
        <w:t>Interferir nas atividades propostas pelo Grupo sem o conhecimento do professor orientador.</w:t>
      </w:r>
    </w:p>
    <w:p>
      <w:pPr>
        <w:pStyle w:val="para2"/>
        <w:numPr>
          <w:ilvl w:val="0"/>
          <w:numId w:val="2"/>
        </w:numPr>
        <w:ind w:left="284" w:hanging="284"/>
        <w:spacing w:after="0" w:line="360" w:lineRule="auto"/>
        <w:rPr>
          <w:rFonts w:ascii="Times New Roman" w:hAnsi="Times New Roman"/>
          <w:sz w:val="24"/>
          <w:szCs w:val="24"/>
        </w:rPr>
      </w:pPr>
      <w:r>
        <w:rPr>
          <w:rFonts w:ascii="Times New Roman" w:hAnsi="Times New Roman"/>
          <w:sz w:val="24"/>
          <w:szCs w:val="24"/>
        </w:rPr>
        <w:t>Realizar atividades relacionadas fora do horário e/ou local determinados pelo Grupo sem o conhecimento do professor orientador.</w:t>
      </w:r>
    </w:p>
    <w:p>
      <w:pPr>
        <w:pStyle w:val="para2"/>
        <w:numPr>
          <w:ilvl w:val="0"/>
          <w:numId w:val="2"/>
        </w:numPr>
        <w:ind w:left="284" w:hanging="284"/>
        <w:spacing w:after="0" w:line="360" w:lineRule="auto"/>
        <w:rPr>
          <w:rFonts w:ascii="Times New Roman" w:hAnsi="Times New Roman"/>
          <w:sz w:val="24"/>
          <w:szCs w:val="24"/>
        </w:rPr>
      </w:pPr>
      <w:r>
        <w:rPr>
          <w:rFonts w:ascii="Times New Roman" w:hAnsi="Times New Roman"/>
          <w:sz w:val="24"/>
          <w:szCs w:val="24"/>
        </w:rPr>
        <w:t>Se o acadêmico faltar três encontros consecutivos, sem justificativa, incorre no afastamento e desligamento do grupo.</w:t>
      </w:r>
    </w:p>
    <w:p>
      <w:pPr>
        <w:pStyle w:val="para2"/>
        <w:ind w:left="284"/>
        <w:spacing w:after="0" w:line="360" w:lineRule="auto"/>
        <w:rPr>
          <w:rFonts w:ascii="Times New Roman" w:hAnsi="Times New Roman"/>
          <w:sz w:val="24"/>
          <w:szCs w:val="24"/>
        </w:rPr>
      </w:pPr>
      <w:r>
        <w:rPr>
          <w:rFonts w:ascii="Times New Roman" w:hAnsi="Times New Roman"/>
          <w:sz w:val="24"/>
          <w:szCs w:val="24"/>
        </w:rPr>
      </w:r>
    </w:p>
    <w:p>
      <w:pPr>
        <w:pStyle w:val="para2"/>
        <w:ind w:left="284"/>
        <w:spacing w:after="0" w:line="360" w:lineRule="auto"/>
        <w:rPr>
          <w:rFonts w:ascii="Times New Roman" w:hAnsi="Times New Roman"/>
          <w:sz w:val="24"/>
          <w:szCs w:val="24"/>
        </w:rPr>
      </w:pPr>
      <w:r>
        <w:rPr>
          <w:rFonts w:ascii="Times New Roman" w:hAnsi="Times New Roman"/>
          <w:sz w:val="24"/>
          <w:szCs w:val="24"/>
        </w:rPr>
      </w:r>
    </w:p>
    <w:p>
      <w:pPr>
        <w:pStyle w:val="para2"/>
        <w:ind w:left="284"/>
        <w:spacing w:after="0" w:line="360" w:lineRule="auto"/>
        <w:rPr>
          <w:rFonts w:ascii="Times New Roman" w:hAnsi="Times New Roman"/>
          <w:sz w:val="24"/>
          <w:szCs w:val="24"/>
        </w:rPr>
      </w:pPr>
      <w:r>
        <w:rPr>
          <w:rFonts w:ascii="Times New Roman" w:hAnsi="Times New Roman"/>
          <w:sz w:val="24"/>
          <w:szCs w:val="24"/>
        </w:rPr>
      </w:r>
    </w:p>
    <w:p>
      <w:pPr>
        <w:pStyle w:val="para2"/>
        <w:ind w:left="284"/>
        <w:spacing w:after="0" w:line="360" w:lineRule="auto"/>
        <w:rPr>
          <w:rFonts w:ascii="Times New Roman" w:hAnsi="Times New Roman"/>
          <w:sz w:val="24"/>
          <w:szCs w:val="24"/>
        </w:rPr>
      </w:pPr>
      <w:r>
        <w:rPr>
          <w:rFonts w:ascii="Times New Roman" w:hAnsi="Times New Roman"/>
          <w:sz w:val="24"/>
          <w:szCs w:val="24"/>
        </w:rPr>
      </w:r>
    </w:p>
    <w:p>
      <w:pPr>
        <w:pStyle w:val="para2"/>
        <w:numPr>
          <w:ilvl w:val="0"/>
          <w:numId w:val="3"/>
        </w:numPr>
        <w:ind w:left="426" w:hanging="360"/>
        <w:spacing w:after="0" w:line="360" w:lineRule="auto"/>
        <w:jc w:val="both"/>
        <w:rPr>
          <w:rFonts w:ascii="Times New Roman" w:hAnsi="Times New Roman"/>
          <w:b/>
          <w:sz w:val="24"/>
          <w:szCs w:val="24"/>
        </w:rPr>
      </w:pPr>
      <w:r>
        <w:rPr>
          <w:rFonts w:ascii="Times New Roman" w:hAnsi="Times New Roman"/>
          <w:b/>
          <w:sz w:val="24"/>
          <w:szCs w:val="24"/>
        </w:rPr>
        <w:t>DA INSCRIÇÃO E SELEÇÃO</w:t>
      </w:r>
    </w:p>
    <w:p>
      <w:pPr>
        <w:numPr>
          <w:ilvl w:val="0"/>
          <w:numId w:val="4"/>
        </w:numPr>
        <w:ind w:left="720" w:hanging="360"/>
        <w:spacing w:after="0" w:line="360" w:lineRule="auto"/>
        <w:jc w:val="both"/>
        <w:rPr>
          <w:rFonts w:ascii="Times New Roman" w:hAnsi="Times New Roman"/>
          <w:sz w:val="24"/>
          <w:szCs w:val="24"/>
        </w:rPr>
      </w:pPr>
      <w:r>
        <w:rPr>
          <w:rFonts w:ascii="Times New Roman" w:hAnsi="Times New Roman"/>
          <w:sz w:val="24"/>
          <w:szCs w:val="24"/>
        </w:rPr>
        <w:t>A inscrição será realizada de forma online, no link de Eventos do sistema Unimestre, no período de 10 a 19 de maio de 2019.</w:t>
      </w:r>
    </w:p>
    <w:p>
      <w:pPr>
        <w:numPr>
          <w:ilvl w:val="0"/>
          <w:numId w:val="4"/>
        </w:numPr>
        <w:ind w:left="720" w:hanging="360"/>
        <w:spacing w:after="0" w:line="360" w:lineRule="auto"/>
        <w:jc w:val="both"/>
        <w:rPr>
          <w:rFonts w:ascii="Times New Roman" w:hAnsi="Times New Roman"/>
          <w:sz w:val="24"/>
          <w:szCs w:val="24"/>
        </w:rPr>
      </w:pPr>
      <w:r>
        <w:rPr>
          <w:rFonts w:ascii="Times New Roman" w:hAnsi="Times New Roman"/>
          <w:sz w:val="24"/>
          <w:szCs w:val="24"/>
        </w:rPr>
        <w:t>A seleção irá ocorrer mediante análise do histórico da graduação.</w:t>
      </w:r>
    </w:p>
    <w:p>
      <w:pPr>
        <w:numPr>
          <w:ilvl w:val="0"/>
          <w:numId w:val="4"/>
        </w:numPr>
        <w:ind w:left="720" w:hanging="360"/>
        <w:spacing w:after="0" w:line="360" w:lineRule="auto"/>
        <w:jc w:val="both"/>
        <w:rPr>
          <w:rFonts w:ascii="Times New Roman" w:hAnsi="Times New Roman"/>
          <w:sz w:val="24"/>
          <w:szCs w:val="24"/>
        </w:rPr>
      </w:pPr>
      <w:r>
        <w:rPr>
          <w:rFonts w:ascii="Times New Roman" w:hAnsi="Times New Roman"/>
          <w:sz w:val="24"/>
          <w:szCs w:val="24"/>
        </w:rPr>
        <w:t>Serão disponibilizadas 05 (cinco) vagas para acadêmicos ou egressos do curso de Arquitetura e Urbanismo, 05 (cinco) vagas para acadêmicos ou egressos do curso de Engenharia Civil, 05 (cinco) vagas para acadêmicos ou egressos do curso de Engenharia de Produção e 05 (cinco) vagas para acadêmicos ou egressos do curso de Gestão da Tecnologia da Informação.</w:t>
      </w:r>
    </w:p>
    <w:p>
      <w:pPr>
        <w:spacing w:after="0" w:line="360" w:lineRule="auto"/>
        <w:jc w:val="both"/>
        <w:rPr>
          <w:rFonts w:ascii="Times New Roman" w:hAnsi="Times New Roman"/>
          <w:sz w:val="24"/>
          <w:szCs w:val="24"/>
        </w:rPr>
      </w:pPr>
      <w:r>
        <w:rPr>
          <w:rFonts w:ascii="Times New Roman" w:hAnsi="Times New Roman"/>
          <w:sz w:val="24"/>
          <w:szCs w:val="24"/>
        </w:rPr>
      </w:r>
    </w:p>
    <w:p>
      <w:pPr>
        <w:ind w:left="284" w:hanging="284"/>
        <w:spacing w:after="0" w:line="360" w:lineRule="auto"/>
        <w:rPr>
          <w:rFonts w:ascii="Times New Roman" w:hAnsi="Times New Roman"/>
          <w:b/>
          <w:sz w:val="24"/>
          <w:szCs w:val="24"/>
        </w:rPr>
      </w:pPr>
      <w:r>
        <w:rPr>
          <w:rFonts w:ascii="Times New Roman" w:hAnsi="Times New Roman"/>
          <w:b/>
          <w:sz w:val="24"/>
          <w:szCs w:val="24"/>
        </w:rPr>
        <w:t>6  DA DIVULGAÇÃO DOS RESULTADOS</w:t>
      </w:r>
    </w:p>
    <w:p>
      <w:pPr>
        <w:ind w:firstLine="709"/>
        <w:spacing w:after="0" w:line="360" w:lineRule="auto"/>
        <w:jc w:val="both"/>
        <w:rPr>
          <w:rFonts w:ascii="Times New Roman" w:hAnsi="Times New Roman"/>
          <w:sz w:val="24"/>
          <w:szCs w:val="24"/>
        </w:rPr>
      </w:pPr>
      <w:r>
        <w:rPr>
          <w:rFonts w:ascii="Times New Roman" w:hAnsi="Times New Roman"/>
          <w:sz w:val="24"/>
          <w:szCs w:val="24"/>
        </w:rPr>
        <w:t>A divulgação da lista de candidatos selecionados será no dia 20 de abril de 2019, nos murais dos cursos e Publicações Legais do site da UCEFF Itapiranga. O primeiro encontro será realizado na data de 20 de maio de 2019, as 18h, no Laboratório de Hardware e Redes (sala A207) da UCEFF Itapiranga.</w:t>
      </w:r>
    </w:p>
    <w:p>
      <w:pPr>
        <w:ind w:firstLine="709"/>
        <w:spacing w:after="0" w:line="360" w:lineRule="auto"/>
        <w:jc w:val="both"/>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b/>
          <w:sz w:val="24"/>
          <w:szCs w:val="24"/>
        </w:rPr>
      </w:pPr>
      <w:r>
        <w:rPr>
          <w:rFonts w:ascii="Times New Roman" w:hAnsi="Times New Roman"/>
          <w:b/>
          <w:sz w:val="24"/>
          <w:szCs w:val="24"/>
        </w:rPr>
        <w:t>7  DAS DISPOSIÇÕES FINAIS</w:t>
      </w:r>
    </w:p>
    <w:p>
      <w:pPr>
        <w:numPr>
          <w:ilvl w:val="0"/>
          <w:numId w:val="1"/>
        </w:numPr>
        <w:ind w:left="284" w:hanging="284"/>
        <w:spacing w:after="0" w:line="360" w:lineRule="auto"/>
        <w:jc w:val="both"/>
        <w:rPr>
          <w:rFonts w:ascii="Times New Roman" w:hAnsi="Times New Roman"/>
          <w:sz w:val="24"/>
          <w:szCs w:val="24"/>
        </w:rPr>
      </w:pPr>
      <w:r>
        <w:rPr>
          <w:rFonts w:ascii="Times New Roman" w:hAnsi="Times New Roman"/>
          <w:sz w:val="24"/>
          <w:szCs w:val="24"/>
        </w:rPr>
        <w:t>O ato de inscrição do candidato importará no conhecimento e aceitação total dos critérios e regras estabelecidas nesse Edital, dos quais não poderá alegar desconhecimento.</w:t>
      </w:r>
    </w:p>
    <w:p>
      <w:pPr>
        <w:numPr>
          <w:ilvl w:val="0"/>
          <w:numId w:val="1"/>
        </w:numPr>
        <w:ind w:left="284" w:hanging="284"/>
        <w:spacing w:after="0" w:line="360" w:lineRule="auto"/>
        <w:jc w:val="both"/>
        <w:rPr>
          <w:rFonts w:ascii="Times New Roman" w:hAnsi="Times New Roman"/>
          <w:sz w:val="24"/>
          <w:szCs w:val="24"/>
        </w:rPr>
      </w:pPr>
      <w:r>
        <w:rPr>
          <w:rFonts w:ascii="Times New Roman" w:hAnsi="Times New Roman"/>
          <w:sz w:val="24"/>
          <w:szCs w:val="24"/>
        </w:rPr>
        <w:t>Ao final das atividades de cada ano o aluno terá direito ao certificado de participação do grupo de estudo, pesquisa e extensão, relacionando os projetos desenvolvidos, que poderá ser validado como atividade complementar, nos termos do Regulamento de Atividades Curriculares Complementares.</w:t>
      </w:r>
    </w:p>
    <w:p>
      <w:pPr>
        <w:numPr>
          <w:ilvl w:val="0"/>
          <w:numId w:val="1"/>
        </w:numPr>
        <w:ind w:left="284" w:hanging="284"/>
        <w:spacing w:after="0" w:line="360" w:lineRule="auto"/>
        <w:jc w:val="both"/>
        <w:rPr>
          <w:rFonts w:ascii="Times New Roman" w:hAnsi="Times New Roman"/>
          <w:sz w:val="24"/>
          <w:szCs w:val="24"/>
        </w:rPr>
      </w:pPr>
      <w:r>
        <w:rPr>
          <w:rFonts w:ascii="Times New Roman" w:hAnsi="Times New Roman"/>
          <w:sz w:val="24"/>
          <w:szCs w:val="24"/>
        </w:rPr>
        <w:t>As excepcionalidades e situações omissas serão resolvidas em primeira instância pela Coordenação do Curso de Gestão da Tecnologia da Informação.</w:t>
      </w:r>
    </w:p>
    <w:p>
      <w:pPr>
        <w:spacing w:after="0"/>
        <w:jc w:val="both"/>
        <w:rPr>
          <w:rFonts w:ascii="Times New Roman" w:hAnsi="Times New Roman"/>
          <w:sz w:val="24"/>
          <w:szCs w:val="24"/>
        </w:rPr>
      </w:pPr>
      <w:r>
        <w:rPr>
          <w:rFonts w:ascii="Times New Roman" w:hAnsi="Times New Roman"/>
          <w:sz w:val="24"/>
          <w:szCs w:val="24"/>
        </w:rPr>
      </w:r>
    </w:p>
    <w:p>
      <w:pPr>
        <w:spacing w:after="0"/>
        <w:jc w:val="both"/>
        <w:rPr>
          <w:rFonts w:ascii="Times New Roman" w:hAnsi="Times New Roman"/>
          <w:sz w:val="24"/>
          <w:szCs w:val="24"/>
        </w:rPr>
      </w:pPr>
      <w:r>
        <w:rPr>
          <w:rFonts w:ascii="Times New Roman" w:hAnsi="Times New Roman"/>
          <w:sz w:val="24"/>
          <w:szCs w:val="24"/>
        </w:rPr>
      </w:r>
    </w:p>
    <w:p>
      <w:pPr>
        <w:spacing/>
        <w:jc w:val="right"/>
        <w:rPr>
          <w:rFonts w:ascii="Times New Roman" w:hAnsi="Times New Roman"/>
          <w:sz w:val="24"/>
          <w:szCs w:val="24"/>
        </w:rPr>
      </w:pPr>
      <w:r>
        <w:rPr>
          <w:rFonts w:ascii="Times New Roman" w:hAnsi="Times New Roman"/>
          <w:sz w:val="24"/>
          <w:szCs w:val="24"/>
        </w:rPr>
        <w:t xml:space="preserve">                                                           Itapiranga, 09 de maio de 2019.</w:t>
      </w:r>
    </w:p>
    <w:p>
      <w:pPr>
        <w:spacing/>
        <w:jc w:val="right"/>
        <w:rPr>
          <w:rFonts w:ascii="Times New Roman" w:hAnsi="Times New Roman"/>
          <w:sz w:val="24"/>
          <w:szCs w:val="24"/>
        </w:rPr>
      </w:pPr>
      <w:r>
        <w:rPr>
          <w:rFonts w:ascii="Times New Roman" w:hAnsi="Times New Roman"/>
          <w:sz w:val="24"/>
          <w:szCs w:val="24"/>
        </w:rPr>
      </w:r>
    </w:p>
    <w:p>
      <w:pPr>
        <w:spacing/>
        <w:jc w:val="right"/>
        <w:rPr>
          <w:rFonts w:ascii="Times New Roman" w:hAnsi="Times New Roman"/>
          <w:sz w:val="24"/>
          <w:szCs w:val="24"/>
        </w:rPr>
      </w:pPr>
      <w:r>
        <w:rPr>
          <w:rFonts w:ascii="Times New Roman" w:hAnsi="Times New Roman"/>
          <w:sz w:val="24"/>
          <w:szCs w:val="24"/>
        </w:rPr>
      </w:r>
    </w:p>
    <w:p>
      <w:pPr>
        <w:spacing/>
        <w:jc w:val="right"/>
        <w:rPr>
          <w:rFonts w:ascii="Times New Roman" w:hAnsi="Times New Roman"/>
          <w:sz w:val="24"/>
          <w:szCs w:val="24"/>
        </w:rPr>
      </w:pPr>
      <w:r>
        <w:rPr>
          <w:rFonts w:ascii="Times New Roman" w:hAnsi="Times New Roman"/>
          <w:sz w:val="24"/>
          <w:szCs w:val="24"/>
        </w:rPr>
      </w:r>
    </w:p>
    <w:p>
      <w:pPr>
        <w:spacing/>
        <w:jc w:val="right"/>
        <w:rPr>
          <w:rFonts w:ascii="Times New Roman" w:hAnsi="Times New Roman"/>
          <w:sz w:val="24"/>
          <w:szCs w:val="24"/>
        </w:rPr>
      </w:pPr>
      <w:r>
        <w:rPr>
          <w:rFonts w:ascii="Times New Roman" w:hAnsi="Times New Roman"/>
          <w:sz w:val="24"/>
          <w:szCs w:val="24"/>
        </w:rPr>
      </w:r>
    </w:p>
    <w:p>
      <w:pPr>
        <w:spacing w:after="0" w:line="360" w:lineRule="auto"/>
        <w:jc w:val="right"/>
        <w:rPr>
          <w:rFonts w:ascii="Times New Roman" w:hAnsi="Times New Roman"/>
          <w:sz w:val="28"/>
          <w:szCs w:val="24"/>
        </w:rPr>
      </w:pPr>
      <w:r>
        <w:rPr>
          <w:rFonts w:ascii="Times New Roman" w:hAnsi="Times New Roman"/>
          <w:sz w:val="28"/>
          <w:szCs w:val="24"/>
        </w:rPr>
      </w:r>
    </w:p>
    <w:p>
      <w:pPr>
        <w:spacing w:after="0" w:line="360" w:lineRule="auto"/>
        <w:rPr>
          <w:rFonts w:ascii="Times New Roman" w:hAnsi="Times New Roman"/>
          <w:sz w:val="24"/>
          <w:lang w:val="en-us"/>
        </w:rPr>
      </w:pPr>
      <w:r>
        <w:rPr>
          <w:rFonts w:ascii="Times New Roman" w:hAnsi="Times New Roman"/>
          <w:sz w:val="24"/>
          <w:lang w:val="en-us"/>
        </w:rPr>
        <w:t xml:space="preserve">  _______________________________                _______________________________</w:t>
      </w:r>
    </w:p>
    <w:p>
      <w:pPr>
        <w:spacing w:after="0" w:line="360" w:lineRule="auto"/>
        <w:rPr>
          <w:rFonts w:ascii="Times New Roman" w:hAnsi="Times New Roman"/>
          <w:sz w:val="24"/>
          <w:lang w:val="en-us"/>
        </w:rPr>
      </w:pPr>
      <w:r>
        <w:rPr>
          <w:rFonts w:ascii="Times New Roman" w:hAnsi="Times New Roman"/>
          <w:sz w:val="24"/>
          <w:lang w:val="en-us"/>
        </w:rPr>
        <w:t xml:space="preserve">   Profª. Claudine Machado Badalotti                                     Prof. Jackson Ilha</w:t>
      </w:r>
    </w:p>
    <w:p>
      <w:pPr>
        <w:spacing w:after="0" w:line="360" w:lineRule="auto"/>
        <w:rPr>
          <w:rFonts w:ascii="Times New Roman" w:hAnsi="Times New Roman"/>
          <w:sz w:val="24"/>
        </w:rPr>
      </w:pPr>
      <w:r>
        <w:rPr>
          <w:rFonts w:ascii="Times New Roman" w:hAnsi="Times New Roman"/>
          <w:sz w:val="24"/>
        </w:rPr>
        <w:t xml:space="preserve">        Coordenadora do curso de                                        Coordenador dos cursos de </w:t>
      </w:r>
    </w:p>
    <w:p>
      <w:pPr>
        <w:spacing w:after="0" w:line="360" w:lineRule="auto"/>
        <w:rPr>
          <w:rFonts w:ascii="Times New Roman" w:hAnsi="Times New Roman"/>
          <w:sz w:val="24"/>
        </w:rPr>
      </w:pPr>
      <w:r>
        <w:rPr>
          <w:rFonts w:ascii="Times New Roman" w:hAnsi="Times New Roman"/>
          <w:sz w:val="24"/>
        </w:rPr>
        <w:t xml:space="preserve">          Arquitetura e Urbanismo                            Engenharia Civil e Engenharia de Produção</w:t>
      </w:r>
    </w:p>
    <w:p>
      <w:pPr>
        <w:spacing w:after="0" w:line="360" w:lineRule="auto"/>
        <w:rPr>
          <w:rFonts w:ascii="Times New Roman" w:hAnsi="Times New Roman"/>
          <w:sz w:val="24"/>
        </w:rPr>
      </w:pPr>
      <w:r>
        <w:rPr>
          <w:rFonts w:ascii="Times New Roman" w:hAnsi="Times New Roman"/>
          <w:sz w:val="24"/>
        </w:rPr>
      </w:r>
    </w:p>
    <w:p>
      <w:pPr>
        <w:spacing w:after="0" w:line="360" w:lineRule="auto"/>
        <w:rPr>
          <w:rFonts w:ascii="Times New Roman" w:hAnsi="Times New Roman"/>
          <w:sz w:val="28"/>
          <w:szCs w:val="24"/>
        </w:rPr>
      </w:pPr>
      <w:r>
        <w:rPr>
          <w:rFonts w:ascii="Times New Roman" w:hAnsi="Times New Roman"/>
          <w:sz w:val="28"/>
          <w:szCs w:val="24"/>
        </w:rPr>
      </w:r>
    </w:p>
    <w:tbl>
      <w:tblPr>
        <w:name w:val="Tabela1"/>
        <w:tabOrder w:val="0"/>
        <w:jc w:val="left"/>
        <w:tblInd w:w="0" w:type="dxa"/>
        <w:tblW w:w="9495" w:type="dxa"/>
      </w:tblPr>
      <w:tblGrid>
        <w:gridCol w:w="4747"/>
        <w:gridCol w:w="4748"/>
      </w:tblGrid>
      <w:tr>
        <w:trPr>
          <w:trHeight w:val="0" w:hRule="auto"/>
        </w:trPr>
        <w:tc>
          <w:tcPr>
            <w:tcW w:w="4747"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577" protected="1"/>
          </w:tcPr>
          <w:p>
            <w:pPr>
              <w:spacing w:after="0" w:line="360" w:lineRule="auto"/>
              <w:jc w:val="center"/>
              <w:rPr>
                <w:rFonts w:ascii="Times New Roman" w:hAnsi="Times New Roman"/>
                <w:sz w:val="24"/>
              </w:rPr>
            </w:pPr>
            <w:r>
              <w:rPr>
                <w:rFonts w:ascii="Times New Roman" w:hAnsi="Times New Roman"/>
                <w:sz w:val="24"/>
              </w:rPr>
            </w:r>
          </w:p>
          <w:p>
            <w:pPr>
              <w:spacing w:after="0" w:line="360" w:lineRule="auto"/>
              <w:rPr>
                <w:rFonts w:ascii="Times New Roman" w:hAnsi="Times New Roman"/>
                <w:sz w:val="24"/>
              </w:rPr>
            </w:pPr>
            <w:r>
              <w:rPr>
                <w:rFonts w:ascii="Times New Roman" w:hAnsi="Times New Roman"/>
                <w:sz w:val="24"/>
              </w:rPr>
              <w:t xml:space="preserve"> _______________________________</w:t>
            </w:r>
          </w:p>
          <w:p>
            <w:pPr>
              <w:spacing w:after="0" w:line="360" w:lineRule="auto"/>
              <w:jc w:val="center"/>
              <w:rPr>
                <w:rFonts w:ascii="Times New Roman" w:hAnsi="Times New Roman"/>
                <w:sz w:val="24"/>
              </w:rPr>
            </w:pPr>
            <w:r>
              <w:rPr>
                <w:rFonts w:ascii="Times New Roman" w:hAnsi="Times New Roman"/>
                <w:sz w:val="24"/>
              </w:rPr>
              <w:t>Profª. Juliane Colling</w:t>
            </w:r>
          </w:p>
          <w:p>
            <w:pPr>
              <w:spacing w:after="0" w:line="360" w:lineRule="auto"/>
              <w:jc w:val="center"/>
              <w:rPr>
                <w:rFonts w:ascii="Times New Roman" w:hAnsi="Times New Roman"/>
                <w:sz w:val="24"/>
              </w:rPr>
            </w:pPr>
            <w:r>
              <w:rPr>
                <w:rFonts w:ascii="Times New Roman" w:hAnsi="Times New Roman"/>
                <w:sz w:val="24"/>
              </w:rPr>
              <w:t xml:space="preserve">Coordenadora do curso de </w:t>
            </w:r>
          </w:p>
          <w:p>
            <w:pPr>
              <w:spacing w:after="0" w:line="360" w:lineRule="auto"/>
              <w:jc w:val="center"/>
              <w:rPr>
                <w:rFonts w:ascii="Times New Roman" w:hAnsi="Times New Roman"/>
                <w:sz w:val="24"/>
              </w:rPr>
            </w:pPr>
            <w:r>
              <w:rPr>
                <w:rFonts w:ascii="Times New Roman" w:hAnsi="Times New Roman"/>
                <w:sz w:val="24"/>
              </w:rPr>
              <w:t>Gestão da Tecnologia da Informação</w:t>
            </w:r>
          </w:p>
        </w:tc>
        <w:tc>
          <w:tcPr>
            <w:tcW w:w="4748"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577" protected="1"/>
          </w:tcPr>
          <w:p>
            <w:pPr>
              <w:spacing w:after="0" w:line="360" w:lineRule="auto"/>
              <w:rPr>
                <w:rFonts w:ascii="Times New Roman" w:hAnsi="Times New Roman"/>
                <w:sz w:val="24"/>
              </w:rPr>
            </w:pPr>
            <w:r>
              <w:rPr>
                <w:rFonts w:ascii="Times New Roman" w:hAnsi="Times New Roman"/>
                <w:sz w:val="24"/>
              </w:rPr>
            </w:r>
          </w:p>
          <w:p>
            <w:pPr>
              <w:spacing w:after="0" w:line="360" w:lineRule="auto"/>
              <w:rPr>
                <w:rFonts w:ascii="Times New Roman" w:hAnsi="Times New Roman"/>
                <w:sz w:val="24"/>
              </w:rPr>
            </w:pPr>
            <w:r>
              <w:rPr>
                <w:rFonts w:ascii="Times New Roman" w:hAnsi="Times New Roman"/>
                <w:sz w:val="24"/>
              </w:rPr>
              <w:t>_______________________________</w:t>
            </w:r>
          </w:p>
          <w:p>
            <w:pPr>
              <w:spacing w:after="0" w:line="360" w:lineRule="auto"/>
              <w:jc w:val="center"/>
              <w:rPr>
                <w:rFonts w:ascii="Times New Roman" w:hAnsi="Times New Roman"/>
                <w:sz w:val="24"/>
              </w:rPr>
            </w:pPr>
            <w:r>
              <w:rPr>
                <w:rFonts w:ascii="Times New Roman" w:hAnsi="Times New Roman"/>
                <w:sz w:val="24"/>
              </w:rPr>
              <w:t xml:space="preserve">Prof. Aléssio Cagliari </w:t>
            </w:r>
          </w:p>
          <w:p>
            <w:pPr>
              <w:spacing w:after="0" w:line="360" w:lineRule="auto"/>
              <w:jc w:val="center"/>
              <w:rPr>
                <w:rFonts w:ascii="Times New Roman" w:hAnsi="Times New Roman"/>
                <w:sz w:val="24"/>
              </w:rPr>
            </w:pPr>
            <w:r>
              <w:rPr>
                <w:rFonts w:ascii="Times New Roman" w:hAnsi="Times New Roman"/>
                <w:sz w:val="24"/>
              </w:rPr>
              <w:t>Professor Orientador do GEART</w:t>
            </w:r>
          </w:p>
        </w:tc>
      </w:tr>
      <w:tr>
        <w:trPr>
          <w:trHeight w:val="511" w:hRule="atLeast"/>
        </w:trPr>
        <w:tc>
          <w:tcPr>
            <w:tcW w:w="4747"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577" protected="1"/>
          </w:tcPr>
          <w:p>
            <w:pPr>
              <w:spacing w:after="0" w:line="360" w:lineRule="auto"/>
              <w:jc w:val="center"/>
              <w:rPr>
                <w:rFonts w:ascii="Times New Roman" w:hAnsi="Times New Roman"/>
                <w:szCs w:val="20"/>
              </w:rPr>
            </w:pPr>
            <w:r>
              <w:rPr>
                <w:rFonts w:ascii="Times New Roman" w:hAnsi="Times New Roman"/>
                <w:szCs w:val="20"/>
              </w:rPr>
            </w:r>
          </w:p>
          <w:p>
            <w:pPr>
              <w:spacing w:after="0" w:line="360" w:lineRule="auto"/>
              <w:rPr>
                <w:rFonts w:ascii="Times New Roman" w:hAnsi="Times New Roman"/>
                <w:szCs w:val="20"/>
              </w:rPr>
            </w:pPr>
            <w:r>
              <w:rPr>
                <w:rFonts w:ascii="Times New Roman" w:hAnsi="Times New Roman"/>
                <w:szCs w:val="20"/>
              </w:rPr>
            </w:r>
          </w:p>
        </w:tc>
        <w:tc>
          <w:tcPr>
            <w:tcW w:w="4748" w:type="dxa"/>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557768577" protected="1"/>
          </w:tcPr>
          <w:p>
            <w:pPr>
              <w:spacing w:after="0" w:line="360" w:lineRule="auto"/>
              <w:jc w:val="center"/>
              <w:rPr>
                <w:rFonts w:ascii="Times New Roman" w:hAnsi="Times New Roman"/>
                <w:szCs w:val="20"/>
              </w:rPr>
            </w:pPr>
            <w:r>
              <w:rPr>
                <w:rFonts w:ascii="Times New Roman" w:hAnsi="Times New Roman"/>
                <w:szCs w:val="20"/>
              </w:rPr>
            </w:r>
          </w:p>
          <w:p>
            <w:pPr>
              <w:spacing w:after="0" w:line="360" w:lineRule="auto"/>
              <w:jc w:val="center"/>
              <w:rPr>
                <w:rFonts w:ascii="Times New Roman" w:hAnsi="Times New Roman"/>
                <w:szCs w:val="20"/>
              </w:rPr>
            </w:pPr>
            <w:r>
              <w:rPr>
                <w:rFonts w:ascii="Times New Roman" w:hAnsi="Times New Roman"/>
                <w:szCs w:val="20"/>
              </w:rPr>
            </w:r>
          </w:p>
          <w:p>
            <w:pPr>
              <w:spacing w:after="0" w:line="360" w:lineRule="auto"/>
              <w:jc w:val="center"/>
              <w:rPr>
                <w:rFonts w:ascii="Times New Roman" w:hAnsi="Times New Roman"/>
                <w:szCs w:val="20"/>
              </w:rPr>
            </w:pPr>
            <w:r>
              <w:rPr>
                <w:rFonts w:ascii="Times New Roman" w:hAnsi="Times New Roman"/>
                <w:szCs w:val="20"/>
              </w:rPr>
            </w:r>
          </w:p>
        </w:tc>
      </w:tr>
    </w:tbl>
    <w:p>
      <w:pPr>
        <w:spacing/>
        <w:jc w:val="both"/>
        <w:rPr>
          <w:rFonts w:ascii="Times New Roman" w:hAnsi="Times New Roman"/>
          <w:sz w:val="24"/>
          <w:szCs w:val="24"/>
        </w:rPr>
      </w:pPr>
      <w:r>
        <w:rPr>
          <w:rFonts w:ascii="Times New Roman" w:hAnsi="Times New Roman"/>
          <w:sz w:val="24"/>
          <w:szCs w:val="24"/>
        </w:rPr>
      </w:r>
    </w:p>
    <w:p>
      <w:pPr>
        <w:spacing/>
        <w:jc w:val="both"/>
        <w:rPr>
          <w:rFonts w:ascii="Times New Roman" w:hAnsi="Times New Roman"/>
          <w:sz w:val="24"/>
          <w:szCs w:val="24"/>
        </w:rPr>
      </w:pPr>
      <w:r>
        <w:rPr>
          <w:rFonts w:ascii="Times New Roman" w:hAnsi="Times New Roman"/>
          <w:sz w:val="24"/>
          <w:szCs w:val="24"/>
        </w:rPr>
      </w:r>
    </w:p>
    <w:p>
      <w:pPr>
        <w:spacing/>
        <w:jc w:val="both"/>
        <w:rPr>
          <w:rFonts w:ascii="Times New Roman" w:hAnsi="Times New Roman"/>
          <w:sz w:val="24"/>
          <w:szCs w:val="24"/>
        </w:rPr>
      </w:pPr>
      <w:r>
        <w:rPr>
          <w:rFonts w:ascii="Times New Roman" w:hAnsi="Times New Roman"/>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38" w:w="11906"/>
      <w:pgMar w:left="1701" w:top="1701" w:right="1134" w:bottom="1134" w:header="708" w:footer="708"/>
      <w:paperSrc w:first="0" w:other="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
    </w:pPr>
    <w:r>
      <w:rPr>
        <w:noProof w:val="1"/>
        <w:lang w:eastAsia="pt-br"/>
      </w:rPr>
    </w:r>
    <w:r>
      <w:rPr>
        <w:noProof/>
      </w:rPr>
      <w:drawing>
        <wp:inline distT="0" distB="0" distL="0" distR="0">
          <wp:extent cx="5401310" cy="56070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a:extLst>
                      <a:ext uri="smNativeData">
                        <sm:smNativeData xmlns:sm="smNativeData" val="SMDATA_16_ganZ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AAAAAAAAAAAAAAAAAAAAAAAAAAAAAAAAAAAAAAAAAAAAAAAOiEAAHMDAAAAAAAAAAAAAAAAAAA="/>
                      </a:ext>
                    </a:extLst>
                  </pic:cNvPicPr>
                </pic:nvPicPr>
                <pic:blipFill>
                  <a:blip r:embed="rId1"/>
                  <a:stretch>
                    <a:fillRect/>
                  </a:stretch>
                </pic:blipFill>
                <pic:spPr>
                  <a:xfrm>
                    <a:off x="0" y="0"/>
                    <a:ext cx="5401310" cy="560705"/>
                  </a:xfrm>
                  <a:prstGeom prst="rect">
                    <a:avLst/>
                  </a:prstGeom>
                  <a:noFill/>
                  <a:ln w="12700">
                    <a:noFill/>
                  </a:ln>
                </pic:spPr>
              </pic:pic>
            </a:graphicData>
          </a:graphic>
        </wp:inline>
      </w:drawing>
    </w:r>
    <w:r>
      <w:rPr>
        <w:noProof w:val="1"/>
        <w:lang w:eastAsia="pt-br"/>
      </w:rPr>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3"/>
    </w:pPr>
    <w:r>
      <w:rPr>
        <w:noProof w:val="1"/>
        <w:lang w:eastAsia="pt-br"/>
      </w:rPr>
    </w:r>
    <w:r>
      <w:rPr>
        <w:noProof/>
      </w:rPr>
      <w:drawing>
        <wp:inline distT="0" distB="0" distL="0" distR="0">
          <wp:extent cx="5401310" cy="469265"/>
          <wp:effectExtent l="0" t="0" r="0" b="0"/>
          <wp:docPr id="1" name="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2"/>
                  <pic:cNvPicPr>
                    <a:picLocks noChangeAspect="1"/>
                    <a:extLst>
                      <a:ext uri="smNativeData">
                        <sm:smNativeData xmlns:sm="smNativeData" val="SMDATA_16_ganZ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AAAAAAAAAAAAAAAAAAAAAAAAAAAAAAAAAAAAAAAAAAAAAAAOiEAAOMCAAAAAAAAAAAAAAAAAAA="/>
                      </a:ext>
                    </a:extLst>
                  </pic:cNvPicPr>
                </pic:nvPicPr>
                <pic:blipFill>
                  <a:blip r:embed="rId1"/>
                  <a:stretch>
                    <a:fillRect/>
                  </a:stretch>
                </pic:blipFill>
                <pic:spPr>
                  <a:xfrm>
                    <a:off x="0" y="0"/>
                    <a:ext cx="5401310" cy="469265"/>
                  </a:xfrm>
                  <a:prstGeom prst="rect">
                    <a:avLst/>
                  </a:prstGeom>
                  <a:noFill/>
                  <a:ln w="12700">
                    <a:noFill/>
                  </a:ln>
                </pic:spPr>
              </pic:pic>
            </a:graphicData>
          </a:graphic>
        </wp:inline>
      </w:drawing>
    </w:r>
    <w:r>
      <w:rPr>
        <w:noProof w:val="1"/>
        <w:lang w:eastAsia="pt-br"/>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Lista numerada 2"/>
    <w:lvl w:ilvl="0">
      <w:start w:val="1"/>
      <w:numFmt w:val="lowerLetter"/>
      <w:suff w:val="tab"/>
      <w:lvlText w:val="%1)"/>
      <w:lvlJc w:val="left"/>
      <w:pPr>
        <w:ind w:left="360" w:hanging="0"/>
      </w:pPr>
      <w:rPr>
        <w:rFonts w:ascii="Calibri" w:hAnsi="Calibri" w:eastAsia="Calibri" w:cs="Calibri"/>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
    <w:multiLevelType w:val="hybridMultilevel"/>
    <w:name w:val="Lista numerada 3"/>
    <w:lvl w:ilvl="0">
      <w:start w:val="5"/>
      <w:numFmt w:val="decimal"/>
      <w:suff w:val="tab"/>
      <w:lvlText w:val="%1"/>
      <w:lvlJc w:val="left"/>
      <w:pPr>
        <w:ind w:left="360" w:hanging="0"/>
      </w:pPr>
      <w:rPr>
        <w:b/>
      </w:r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4">
    <w:multiLevelType w:val="hybridMultilevel"/>
    <w:name w:val="Lista numerada 4"/>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lowerLetter"/>
      <w:suff w:val="tab"/>
      <w:lvlText w:val="%1)"/>
      <w:lvlJc w:val="left"/>
      <w:pPr>
        <w:ind w:left="360" w:hanging="0"/>
      </w:pPr>
      <w:rPr>
        <w:rFonts w:ascii="Times New Roman" w:hAnsi="Times New Roman" w:eastAsia="Calibri" w:cs="Times New Roman"/>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Lista numerada 6"/>
    <w:lvl w:ilvl="0">
      <w:start w:val="1"/>
      <w:numFmt w:val="lowerLetter"/>
      <w:suff w:val="tab"/>
      <w:lvlText w:val="%1)"/>
      <w:lvlJc w:val="left"/>
      <w:pPr>
        <w:ind w:left="0" w:hanging="0"/>
      </w:pPr>
      <w:rPr>
        <w:b w:val="0"/>
      </w:rPr>
    </w:lvl>
    <w:lvl w:ilvl="1">
      <w:start w:val="1"/>
      <w:numFmt w:val="lowerLetter"/>
      <w:suff w:val="tab"/>
      <w:lvlText w:val="%2."/>
      <w:lvlJc w:val="left"/>
      <w:pPr>
        <w:ind w:left="720" w:hanging="0"/>
      </w:pPr>
    </w:lvl>
    <w:lvl w:ilvl="2">
      <w:start w:val="1"/>
      <w:numFmt w:val="lowerRoman"/>
      <w:suff w:val="tab"/>
      <w:lvlText w:val="%3."/>
      <w:lvlJc w:val="lef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lef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left"/>
      <w:pPr>
        <w:ind w:left="5940" w:hanging="0"/>
      </w:pPr>
    </w:lvl>
  </w:abstractNum>
  <w:abstractNum w:abstractNumId="7">
    <w:multiLevelType w:val="hybridMultilevel"/>
    <w:name w:val="Lista numerada 7"/>
    <w:lvl w:ilvl="0">
      <w:start w:val="3"/>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3073"/>
    <o:shapelayout v:ext="edit">
      <o:rules v:ext="edit"/>
    </o:shapelayout>
  </w:shapeDefaults>
  <w:tmPrefOne w:val="17"/>
  <w:tmPrefTwo w:val="1"/>
  <w:tmFmtPref w:val="189283691"/>
  <w:tmCommentsPr>
    <w:tmCommentsPlace w:val="0"/>
    <w:tmCommentsWidth w:val="3119"/>
    <w:tmCommentsColor w:val="-1"/>
  </w:tmCommentsPr>
  <w:tmReviewPr>
    <w:tmReviewEnabled w:val="0"/>
    <w:tmReviewShow w:val="1"/>
    <w:tmReviewPrint w:val="1"/>
    <w:tmRevisionNum w:val="13"/>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43"/>
      <w:tmLastPosIdx w:val="210"/>
    </w:tmLastPosCaret>
    <w:tmLastPosAnchor>
      <w:tmLastPosPgfIdx w:val="0"/>
      <w:tmLastPosIdx w:val="0"/>
    </w:tmLastPosAnchor>
    <w:tmLastPosTblRect w:left="0" w:top="0" w:right="0" w:bottom="0"/>
  </w:tmLastPos>
  <w:tmAppRevision w:date="1557768577" w:val="944"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22"/>
      <w:szCs w:val="22"/>
      <w:lang w:val="pt-br" w:eastAsia="en-us" w:bidi="ar-sa"/>
    </w:rPr>
  </w:style>
  <w:style w:type="paragraph" w:styleId="para1">
    <w:name w:val="Balloon Text"/>
    <w:qFormat/>
    <w:basedOn w:val="para0"/>
    <w:pPr>
      <w:spacing w:after="0" w:line="240" w:lineRule="auto"/>
    </w:pPr>
    <w:rPr>
      <w:rFonts w:ascii="Tahoma" w:hAnsi="Tahoma" w:cs="Tahoma"/>
      <w:sz w:val="16"/>
      <w:szCs w:val="16"/>
    </w:rPr>
  </w:style>
  <w:style w:type="paragraph" w:styleId="para2">
    <w:name w:val="List Paragraph"/>
    <w:qFormat/>
    <w:basedOn w:val="para0"/>
    <w:pPr>
      <w:ind w:left="720"/>
      <w:contextualSpacing/>
    </w:pPr>
  </w:style>
  <w:style w:type="paragraph" w:styleId="para3">
    <w:name w:val="Header"/>
    <w:qFormat/>
    <w:basedOn w:val="para0"/>
    <w:pPr>
      <w:tabs>
        <w:tab w:val="center" w:pos="4252" w:leader="none"/>
        <w:tab w:val="right" w:pos="8504" w:leader="none"/>
      </w:tabs>
    </w:pPr>
  </w:style>
  <w:style w:type="paragraph" w:styleId="para4">
    <w:name w:val="Footer"/>
    <w:qFormat/>
    <w:basedOn w:val="para0"/>
    <w:pPr>
      <w:tabs>
        <w:tab w:val="center" w:pos="4252" w:leader="none"/>
        <w:tab w:val="right" w:pos="8504" w:leader="none"/>
      </w:tabs>
    </w:pPr>
  </w:style>
  <w:style w:type="paragraph" w:styleId="para5">
    <w:name w:val="Body Text Indent"/>
    <w:qFormat/>
    <w:basedOn w:val="para0"/>
    <w:pPr>
      <w:spacing w:before="280" w:after="280" w:line="240" w:lineRule="auto"/>
      <w:suppressAutoHyphens/>
      <w:hyphenationLines w:val="0"/>
    </w:pPr>
    <w:rPr>
      <w:rFonts w:ascii="Times New Roman" w:hAnsi="Times New Roman" w:eastAsia="Times New Roman"/>
      <w:sz w:val="24"/>
      <w:szCs w:val="24"/>
      <w:lang w:eastAsia="ar-sa"/>
    </w:rPr>
  </w:style>
  <w:style w:type="character" w:styleId="char0" w:default="1">
    <w:name w:val="Default Paragraph Font"/>
    <w:basedOn w:val="char0"/>
  </w:style>
  <w:style w:type="character" w:styleId="char1" w:customStyle="1">
    <w:name w:val="Texto de balão Char"/>
    <w:rPr>
      <w:rFonts w:ascii="Tahoma" w:hAnsi="Tahoma" w:cs="Tahoma"/>
      <w:sz w:val="16"/>
      <w:szCs w:val="16"/>
    </w:rPr>
  </w:style>
  <w:style w:type="character" w:styleId="char2" w:customStyle="1">
    <w:name w:val="Cabeçalho Char"/>
    <w:rPr>
      <w:sz w:val="22"/>
      <w:szCs w:val="22"/>
      <w:lang w:eastAsia="en-us"/>
    </w:rPr>
  </w:style>
  <w:style w:type="character" w:styleId="char3" w:customStyle="1">
    <w:name w:val="Rodapé Char"/>
    <w:rPr>
      <w:sz w:val="22"/>
      <w:szCs w:val="22"/>
      <w:lang w:eastAsia="en-us"/>
    </w:rPr>
  </w:style>
  <w:style w:type="character" w:styleId="char4" w:customStyle="1">
    <w:name w:val="Recuo de corpo de texto Char"/>
    <w:rPr>
      <w:rFonts w:ascii="Times New Roman" w:hAnsi="Times New Roman" w:eastAsia="Times New Roman"/>
      <w:sz w:val="24"/>
      <w:szCs w:val="24"/>
      <w:lang w:eastAsia="ar-sa"/>
    </w:rPr>
  </w:style>
  <w:style w:type="character" w:styleId="char5">
    <w:name w:val="Hyperlink"/>
    <w:rPr>
      <w:color w:val="auto"/>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22"/>
      <w:szCs w:val="22"/>
      <w:lang w:val="pt-br" w:eastAsia="en-us" w:bidi="ar-sa"/>
    </w:rPr>
  </w:style>
  <w:style w:type="paragraph" w:styleId="para1">
    <w:name w:val="Balloon Text"/>
    <w:qFormat/>
    <w:basedOn w:val="para0"/>
    <w:pPr>
      <w:spacing w:after="0" w:line="240" w:lineRule="auto"/>
    </w:pPr>
    <w:rPr>
      <w:rFonts w:ascii="Tahoma" w:hAnsi="Tahoma" w:cs="Tahoma"/>
      <w:sz w:val="16"/>
      <w:szCs w:val="16"/>
    </w:rPr>
  </w:style>
  <w:style w:type="paragraph" w:styleId="para2">
    <w:name w:val="List Paragraph"/>
    <w:qFormat/>
    <w:basedOn w:val="para0"/>
    <w:pPr>
      <w:ind w:left="720"/>
      <w:contextualSpacing/>
    </w:pPr>
  </w:style>
  <w:style w:type="paragraph" w:styleId="para3">
    <w:name w:val="Header"/>
    <w:qFormat/>
    <w:basedOn w:val="para0"/>
    <w:pPr>
      <w:tabs>
        <w:tab w:val="center" w:pos="4252" w:leader="none"/>
        <w:tab w:val="right" w:pos="8504" w:leader="none"/>
      </w:tabs>
    </w:pPr>
  </w:style>
  <w:style w:type="paragraph" w:styleId="para4">
    <w:name w:val="Footer"/>
    <w:qFormat/>
    <w:basedOn w:val="para0"/>
    <w:pPr>
      <w:tabs>
        <w:tab w:val="center" w:pos="4252" w:leader="none"/>
        <w:tab w:val="right" w:pos="8504" w:leader="none"/>
      </w:tabs>
    </w:pPr>
  </w:style>
  <w:style w:type="paragraph" w:styleId="para5">
    <w:name w:val="Body Text Indent"/>
    <w:qFormat/>
    <w:basedOn w:val="para0"/>
    <w:pPr>
      <w:spacing w:before="280" w:after="280" w:line="240" w:lineRule="auto"/>
      <w:suppressAutoHyphens/>
      <w:hyphenationLines w:val="0"/>
    </w:pPr>
    <w:rPr>
      <w:rFonts w:ascii="Times New Roman" w:hAnsi="Times New Roman" w:eastAsia="Times New Roman"/>
      <w:sz w:val="24"/>
      <w:szCs w:val="24"/>
      <w:lang w:eastAsia="ar-sa"/>
    </w:rPr>
  </w:style>
  <w:style w:type="character" w:styleId="char0" w:default="1">
    <w:name w:val="Default Paragraph Font"/>
    <w:basedOn w:val="char0"/>
  </w:style>
  <w:style w:type="character" w:styleId="char1" w:customStyle="1">
    <w:name w:val="Texto de balão Char"/>
    <w:rPr>
      <w:rFonts w:ascii="Tahoma" w:hAnsi="Tahoma" w:cs="Tahoma"/>
      <w:sz w:val="16"/>
      <w:szCs w:val="16"/>
    </w:rPr>
  </w:style>
  <w:style w:type="character" w:styleId="char2" w:customStyle="1">
    <w:name w:val="Cabeçalho Char"/>
    <w:rPr>
      <w:sz w:val="22"/>
      <w:szCs w:val="22"/>
      <w:lang w:eastAsia="en-us"/>
    </w:rPr>
  </w:style>
  <w:style w:type="character" w:styleId="char3" w:customStyle="1">
    <w:name w:val="Rodapé Char"/>
    <w:rPr>
      <w:sz w:val="22"/>
      <w:szCs w:val="22"/>
      <w:lang w:eastAsia="en-us"/>
    </w:rPr>
  </w:style>
  <w:style w:type="character" w:styleId="char4" w:customStyle="1">
    <w:name w:val="Recuo de corpo de texto Char"/>
    <w:rPr>
      <w:rFonts w:ascii="Times New Roman" w:hAnsi="Times New Roman" w:eastAsia="Times New Roman"/>
      <w:sz w:val="24"/>
      <w:szCs w:val="24"/>
      <w:lang w:eastAsia="ar-sa"/>
    </w:rPr>
  </w:style>
  <w:style w:type="character" w:styleId="char5">
    <w:name w:val="Hyperlink"/>
    <w:rPr>
      <w:color w:val="auto"/>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
<Relationships xmlns="http://schemas.openxmlformats.org/package/2006/relationships"><Relationship Id="rId1" Type="http://schemas.openxmlformats.org/officeDocument/2006/relationships/image" Target="media/image2.png"/></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FAI-003TI</dc:creator>
  <cp:keywords/>
  <dc:description/>
  <cp:lastModifiedBy/>
  <cp:revision>13</cp:revision>
  <cp:lastPrinted>2019-05-10T16:51:00Z</cp:lastPrinted>
  <dcterms:created xsi:type="dcterms:W3CDTF">2017-04-18T17:27:00Z</dcterms:created>
  <dcterms:modified xsi:type="dcterms:W3CDTF">2019-05-13T17:29:37Z</dcterms:modified>
</cp:coreProperties>
</file>